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beforeAutospacing="0" w:after="0" w:afterAutospacing="0" w:line="560" w:lineRule="exact"/>
        <w:jc w:val="left"/>
        <w:rPr>
          <w:rFonts w:hint="eastAsia" w:ascii="宋体" w:hAnsi="宋体" w:eastAsia="宋体" w:cs="宋体"/>
          <w:b w:val="0"/>
          <w:bCs w:val="0"/>
          <w:sz w:val="28"/>
          <w:szCs w:val="28"/>
          <w:lang w:eastAsia="zh-CN"/>
        </w:rPr>
      </w:pPr>
      <w:r>
        <w:rPr>
          <w:rFonts w:hint="eastAsia" w:ascii="宋体" w:hAnsi="宋体" w:eastAsia="宋体" w:cs="宋体"/>
          <w:b w:val="0"/>
          <w:bCs w:val="0"/>
          <w:sz w:val="28"/>
          <w:szCs w:val="28"/>
          <w:lang w:eastAsia="zh-CN"/>
        </w:rPr>
        <w:t>附件</w:t>
      </w:r>
    </w:p>
    <w:p>
      <w:pPr>
        <w:widowControl/>
        <w:spacing w:line="520" w:lineRule="exact"/>
        <w:jc w:val="center"/>
        <w:rPr>
          <w:rFonts w:hint="eastAsia" w:ascii="宋体" w:hAnsi="宋体" w:eastAsia="宋体" w:cs="宋体"/>
          <w:b/>
          <w:bCs/>
          <w:color w:val="313131"/>
          <w:kern w:val="0"/>
          <w:sz w:val="44"/>
          <w:szCs w:val="44"/>
          <w:lang w:val="en-US" w:eastAsia="zh-CN"/>
        </w:rPr>
      </w:pPr>
    </w:p>
    <w:p>
      <w:pPr>
        <w:keepNext w:val="0"/>
        <w:keepLines w:val="0"/>
        <w:pageBreakBefore w:val="0"/>
        <w:widowControl/>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b/>
          <w:bCs/>
          <w:color w:val="000000"/>
          <w:kern w:val="44"/>
          <w:sz w:val="44"/>
          <w:szCs w:val="44"/>
          <w:lang w:val="en-US" w:eastAsia="zh-CN" w:bidi="ar-SA"/>
        </w:rPr>
      </w:pPr>
      <w:r>
        <w:rPr>
          <w:rFonts w:hint="eastAsia" w:ascii="方正小标宋简体" w:hAnsi="方正小标宋简体" w:eastAsia="方正小标宋简体" w:cs="方正小标宋简体"/>
          <w:b/>
          <w:bCs/>
          <w:color w:val="000000"/>
          <w:kern w:val="44"/>
          <w:sz w:val="44"/>
          <w:szCs w:val="44"/>
          <w:lang w:val="en-US" w:eastAsia="zh-CN" w:bidi="ar-SA"/>
        </w:rPr>
        <w:t>关于2024年恩平市公共租赁住房保障范围</w:t>
      </w:r>
    </w:p>
    <w:p>
      <w:pPr>
        <w:keepNext w:val="0"/>
        <w:keepLines w:val="0"/>
        <w:pageBreakBefore w:val="0"/>
        <w:widowControl/>
        <w:kinsoku/>
        <w:wordWrap/>
        <w:overflowPunct/>
        <w:topLinePunct w:val="0"/>
        <w:autoSpaceDE/>
        <w:autoSpaceDN/>
        <w:bidi w:val="0"/>
        <w:adjustRightInd/>
        <w:snapToGrid/>
        <w:spacing w:line="760" w:lineRule="exact"/>
        <w:jc w:val="center"/>
        <w:textAlignment w:val="auto"/>
        <w:rPr>
          <w:rFonts w:hint="eastAsia" w:ascii="方正小标宋简体" w:hAnsi="方正小标宋简体" w:eastAsia="方正小标宋简体" w:cs="方正小标宋简体"/>
          <w:b/>
          <w:bCs/>
          <w:color w:val="000000"/>
          <w:kern w:val="44"/>
          <w:sz w:val="44"/>
          <w:szCs w:val="44"/>
          <w:lang w:val="en-US" w:eastAsia="zh-CN" w:bidi="ar-SA"/>
        </w:rPr>
      </w:pPr>
      <w:r>
        <w:rPr>
          <w:rFonts w:hint="eastAsia" w:ascii="方正小标宋简体" w:hAnsi="方正小标宋简体" w:eastAsia="方正小标宋简体" w:cs="方正小标宋简体"/>
          <w:b/>
          <w:bCs/>
          <w:color w:val="000000"/>
          <w:kern w:val="44"/>
          <w:sz w:val="44"/>
          <w:szCs w:val="44"/>
          <w:lang w:val="en-US" w:eastAsia="zh-CN" w:bidi="ar-SA"/>
        </w:rPr>
        <w:t>调整的说明</w:t>
      </w:r>
    </w:p>
    <w:p>
      <w:pPr>
        <w:pStyle w:val="4"/>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eastAsia="仿宋" w:cs="Times New Roman"/>
          <w:b w:val="0"/>
          <w:bCs w:val="0"/>
          <w:color w:val="auto"/>
          <w:kern w:val="2"/>
          <w:sz w:val="32"/>
          <w:szCs w:val="32"/>
          <w:u w:val="none"/>
          <w:lang w:val="en-US" w:eastAsia="zh-CN" w:bidi="ar-SA"/>
        </w:rPr>
      </w:pPr>
    </w:p>
    <w:p>
      <w:pPr>
        <w:keepNext w:val="0"/>
        <w:keepLines w:val="0"/>
        <w:pageBreakBefore w:val="0"/>
        <w:widowControl/>
        <w:kinsoku/>
        <w:wordWrap/>
        <w:overflowPunct/>
        <w:topLinePunct w:val="0"/>
        <w:autoSpaceDE/>
        <w:autoSpaceDN/>
        <w:bidi w:val="0"/>
        <w:adjustRightInd/>
        <w:snapToGrid/>
        <w:spacing w:line="580" w:lineRule="exact"/>
        <w:ind w:firstLine="640" w:firstLineChars="200"/>
        <w:jc w:val="left"/>
        <w:textAlignment w:val="auto"/>
        <w:rPr>
          <w:rFonts w:hint="eastAsia" w:ascii="楷体" w:hAnsi="楷体" w:eastAsia="楷体" w:cs="楷体"/>
          <w:color w:val="313131"/>
          <w:kern w:val="0"/>
          <w:sz w:val="32"/>
          <w:szCs w:val="32"/>
          <w:highlight w:val="none"/>
          <w:u w:val="none"/>
          <w:lang w:val="en-US" w:eastAsia="zh-CN"/>
        </w:rPr>
      </w:pPr>
      <w:r>
        <w:rPr>
          <w:rFonts w:hint="eastAsia" w:ascii="楷体" w:hAnsi="楷体" w:eastAsia="楷体" w:cs="楷体"/>
          <w:color w:val="313131"/>
          <w:kern w:val="0"/>
          <w:sz w:val="32"/>
          <w:szCs w:val="32"/>
          <w:highlight w:val="none"/>
          <w:u w:val="none"/>
          <w:lang w:val="en-US" w:eastAsia="zh-CN"/>
        </w:rPr>
        <w:t>一、调整城镇中等偏下收入住房困难家庭的公共租赁住房保障范围的收入标准，由原来的“月人均可支配收入2083元以下”调整为“月人均可支配收入</w:t>
      </w:r>
      <w:r>
        <w:rPr>
          <w:rFonts w:hint="eastAsia" w:ascii="Times New Roman" w:hAnsi="Times New Roman" w:eastAsia="仿宋_GB2312" w:cs="Times New Roman"/>
          <w:color w:val="313131"/>
          <w:kern w:val="0"/>
          <w:sz w:val="32"/>
          <w:szCs w:val="32"/>
          <w:highlight w:val="none"/>
          <w:lang w:val="en-US" w:eastAsia="zh-CN"/>
        </w:rPr>
        <w:t>2214</w:t>
      </w:r>
      <w:r>
        <w:rPr>
          <w:rFonts w:hint="eastAsia" w:ascii="楷体" w:hAnsi="楷体" w:eastAsia="楷体" w:cs="楷体"/>
          <w:color w:val="313131"/>
          <w:kern w:val="0"/>
          <w:sz w:val="32"/>
          <w:szCs w:val="32"/>
          <w:highlight w:val="none"/>
          <w:u w:val="none"/>
          <w:lang w:val="en-US" w:eastAsia="zh-CN"/>
        </w:rPr>
        <w:t>元以下”。</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仿宋_GB2312" w:cs="Times New Roman"/>
          <w:color w:val="313131"/>
          <w:kern w:val="0"/>
          <w:sz w:val="32"/>
          <w:szCs w:val="32"/>
          <w:lang w:val="en-US" w:eastAsia="zh-CN"/>
        </w:rPr>
      </w:pPr>
      <w:r>
        <w:rPr>
          <w:rFonts w:hint="eastAsia" w:ascii="Times New Roman" w:hAnsi="Times New Roman" w:eastAsia="仿宋_GB2312" w:cs="Times New Roman"/>
          <w:color w:val="313131"/>
          <w:kern w:val="0"/>
          <w:sz w:val="32"/>
          <w:szCs w:val="32"/>
          <w:highlight w:val="none"/>
          <w:lang w:val="en-US" w:eastAsia="zh-CN"/>
        </w:rPr>
        <w:t>根据《广东省城镇住房保障办法》（粤府令第181号）规定，申请租住保障房或者领取租赁补贴的具体标准由市、县人民政府住房保障主管部门根据本地区实际情况确定，定期调整，报本级人民政府批准实施，并向社会公布。按照</w:t>
      </w:r>
      <w:r>
        <w:rPr>
          <w:rFonts w:hint="eastAsia" w:ascii="Times New Roman" w:hAnsi="Times New Roman" w:eastAsia="仿宋_GB2312" w:cs="Times New Roman"/>
          <w:sz w:val="32"/>
          <w:szCs w:val="32"/>
          <w:highlight w:val="none"/>
          <w:lang w:eastAsia="zh-CN"/>
        </w:rPr>
        <w:t>《恩平市公共租赁住房管理暂行办法》（恩府办〔2021〕93号）</w:t>
      </w:r>
      <w:r>
        <w:rPr>
          <w:rFonts w:hint="eastAsia" w:ascii="Times New Roman" w:hAnsi="Times New Roman" w:eastAsia="仿宋_GB2312" w:cs="Times New Roman"/>
          <w:color w:val="313131"/>
          <w:kern w:val="0"/>
          <w:sz w:val="32"/>
          <w:szCs w:val="32"/>
          <w:highlight w:val="none"/>
          <w:lang w:val="en-US" w:eastAsia="zh-CN"/>
        </w:rPr>
        <w:t>的规定“</w:t>
      </w:r>
      <w:r>
        <w:rPr>
          <w:rFonts w:ascii="仿宋_GB2312" w:hAnsi="宋体" w:eastAsia="仿宋_GB2312" w:cs="仿宋_GB2312"/>
          <w:color w:val="000000"/>
          <w:kern w:val="0"/>
          <w:sz w:val="31"/>
          <w:szCs w:val="31"/>
          <w:highlight w:val="none"/>
          <w:lang w:val="en-US" w:eastAsia="zh-CN" w:bidi="ar"/>
        </w:rPr>
        <w:t>家庭年人均可支配收入低于上年度本市城镇人均可支配</w:t>
      </w:r>
      <w:r>
        <w:rPr>
          <w:rFonts w:hint="default" w:ascii="仿宋_GB2312" w:hAnsi="宋体" w:eastAsia="仿宋_GB2312" w:cs="仿宋_GB2312"/>
          <w:color w:val="000000"/>
          <w:kern w:val="0"/>
          <w:sz w:val="31"/>
          <w:szCs w:val="31"/>
          <w:highlight w:val="none"/>
          <w:lang w:val="en-US" w:eastAsia="zh-CN" w:bidi="ar"/>
        </w:rPr>
        <w:t xml:space="preserve">收入的 </w:t>
      </w:r>
      <w:r>
        <w:rPr>
          <w:rFonts w:hint="default" w:ascii="Times New Roman" w:hAnsi="Times New Roman" w:eastAsia="宋体" w:cs="Times New Roman"/>
          <w:color w:val="000000"/>
          <w:kern w:val="0"/>
          <w:sz w:val="31"/>
          <w:szCs w:val="31"/>
          <w:highlight w:val="none"/>
          <w:lang w:val="en-US" w:eastAsia="zh-CN" w:bidi="ar"/>
        </w:rPr>
        <w:t>80%</w:t>
      </w:r>
      <w:r>
        <w:rPr>
          <w:rFonts w:hint="eastAsia" w:ascii="Times New Roman" w:hAnsi="Times New Roman" w:eastAsia="仿宋_GB2312" w:cs="Times New Roman"/>
          <w:color w:val="313131"/>
          <w:kern w:val="0"/>
          <w:sz w:val="32"/>
          <w:szCs w:val="32"/>
          <w:highlight w:val="none"/>
          <w:lang w:val="en-US" w:eastAsia="zh-CN"/>
        </w:rPr>
        <w:t>”，建议按恩平市2023年城镇居民人均可支配收入的8</w:t>
      </w:r>
      <w:r>
        <w:rPr>
          <w:rFonts w:hint="eastAsia" w:ascii="Times New Roman" w:hAnsi="Times New Roman" w:eastAsia="仿宋_GB2312" w:cs="Times New Roman"/>
          <w:color w:val="313131"/>
          <w:kern w:val="0"/>
          <w:sz w:val="32"/>
          <w:szCs w:val="32"/>
          <w:lang w:val="en-US" w:eastAsia="zh-CN"/>
        </w:rPr>
        <w:t>0%设定恩平市2024年公共租赁住房保障收入标准。</w:t>
      </w:r>
    </w:p>
    <w:p>
      <w:pPr>
        <w:keepNext w:val="0"/>
        <w:keepLines w:val="0"/>
        <w:pageBreakBefore w:val="0"/>
        <w:widowControl/>
        <w:suppressLineNumbers w:val="0"/>
        <w:kinsoku/>
        <w:wordWrap/>
        <w:overflowPunct/>
        <w:topLinePunct w:val="0"/>
        <w:autoSpaceDE/>
        <w:autoSpaceDN/>
        <w:bidi w:val="0"/>
        <w:adjustRightInd/>
        <w:snapToGrid/>
        <w:spacing w:line="580" w:lineRule="exact"/>
        <w:ind w:firstLine="640" w:firstLineChars="200"/>
        <w:jc w:val="left"/>
        <w:textAlignment w:val="auto"/>
        <w:rPr>
          <w:rFonts w:hint="eastAsia" w:ascii="Times New Roman" w:hAnsi="Times New Roman" w:eastAsia="仿宋_GB2312" w:cs="Times New Roman"/>
          <w:color w:val="313131"/>
          <w:kern w:val="0"/>
          <w:sz w:val="32"/>
          <w:szCs w:val="32"/>
          <w:lang w:val="en-US" w:eastAsia="zh-CN"/>
        </w:rPr>
      </w:pPr>
      <w:r>
        <w:rPr>
          <w:rFonts w:hint="eastAsia" w:ascii="Times New Roman" w:hAnsi="Times New Roman" w:eastAsia="仿宋_GB2312" w:cs="Times New Roman"/>
          <w:color w:val="313131"/>
          <w:kern w:val="0"/>
          <w:sz w:val="32"/>
          <w:szCs w:val="32"/>
          <w:lang w:val="en-US" w:eastAsia="zh-CN"/>
        </w:rPr>
        <w:t>根据《关于提供有关情况资料的复函》，2023年</w:t>
      </w:r>
      <w:r>
        <w:rPr>
          <w:rFonts w:hint="default" w:ascii="Times New Roman" w:hAnsi="Times New Roman" w:eastAsia="仿宋_GB2312" w:cs="Times New Roman"/>
          <w:color w:val="313131"/>
          <w:kern w:val="0"/>
          <w:sz w:val="32"/>
          <w:szCs w:val="32"/>
          <w:lang w:val="en-US" w:eastAsia="zh-CN"/>
        </w:rPr>
        <w:t>城镇居民人均可支配收入</w:t>
      </w:r>
      <w:r>
        <w:rPr>
          <w:rFonts w:hint="eastAsia" w:ascii="Times New Roman" w:hAnsi="Times New Roman" w:eastAsia="仿宋_GB2312" w:cs="Times New Roman"/>
          <w:color w:val="313131"/>
          <w:kern w:val="0"/>
          <w:sz w:val="32"/>
          <w:szCs w:val="32"/>
          <w:highlight w:val="none"/>
          <w:lang w:val="en-US" w:eastAsia="zh-CN"/>
        </w:rPr>
        <w:t>33221</w:t>
      </w:r>
      <w:r>
        <w:rPr>
          <w:rFonts w:hint="default" w:ascii="Times New Roman" w:hAnsi="Times New Roman" w:eastAsia="仿宋_GB2312" w:cs="Times New Roman"/>
          <w:color w:val="313131"/>
          <w:kern w:val="0"/>
          <w:sz w:val="32"/>
          <w:szCs w:val="32"/>
          <w:lang w:val="en-US" w:eastAsia="zh-CN"/>
        </w:rPr>
        <w:t>元</w:t>
      </w:r>
      <w:r>
        <w:rPr>
          <w:rFonts w:hint="eastAsia" w:ascii="Times New Roman" w:hAnsi="Times New Roman" w:eastAsia="仿宋_GB2312" w:cs="Times New Roman"/>
          <w:color w:val="313131"/>
          <w:kern w:val="0"/>
          <w:sz w:val="32"/>
          <w:szCs w:val="32"/>
          <w:lang w:val="en-US" w:eastAsia="zh-CN"/>
        </w:rPr>
        <w:t>。按照</w:t>
      </w:r>
      <w:r>
        <w:rPr>
          <w:rFonts w:hint="eastAsia" w:ascii="Times New Roman" w:hAnsi="Times New Roman" w:eastAsia="仿宋_GB2312" w:cs="Times New Roman"/>
          <w:color w:val="313131"/>
          <w:kern w:val="0"/>
          <w:sz w:val="32"/>
          <w:szCs w:val="32"/>
          <w:highlight w:val="none"/>
          <w:lang w:val="en-US" w:eastAsia="zh-CN"/>
        </w:rPr>
        <w:t>33221元×80%÷12月=2214元/月计算。因此，恩平市2024年公共租赁住房保障范围，取值2214</w:t>
      </w:r>
      <w:r>
        <w:rPr>
          <w:rFonts w:hint="eastAsia" w:ascii="Times New Roman" w:hAnsi="Times New Roman" w:eastAsia="仿宋_GB2312" w:cs="Times New Roman"/>
          <w:color w:val="313131"/>
          <w:kern w:val="0"/>
          <w:sz w:val="32"/>
          <w:szCs w:val="32"/>
          <w:lang w:val="en-US" w:eastAsia="zh-CN"/>
        </w:rPr>
        <w:t>元设定。</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80" w:lineRule="exact"/>
        <w:ind w:right="0" w:rightChars="0" w:firstLine="320" w:firstLineChars="100"/>
        <w:jc w:val="left"/>
        <w:textAlignment w:val="auto"/>
        <w:outlineLvl w:val="9"/>
        <w:rPr>
          <w:rFonts w:hint="eastAsia" w:ascii="楷体" w:hAnsi="楷体" w:eastAsia="楷体" w:cs="楷体"/>
          <w:b w:val="0"/>
          <w:bCs w:val="0"/>
          <w:color w:val="auto"/>
          <w:kern w:val="2"/>
          <w:sz w:val="32"/>
          <w:szCs w:val="32"/>
          <w:u w:val="none"/>
          <w:lang w:val="en-US" w:eastAsia="zh-CN" w:bidi="ar-SA"/>
        </w:rPr>
      </w:pPr>
      <w:r>
        <w:rPr>
          <w:rFonts w:hint="eastAsia" w:ascii="楷体" w:hAnsi="楷体" w:eastAsia="楷体" w:cs="楷体"/>
          <w:b w:val="0"/>
          <w:bCs w:val="0"/>
          <w:color w:val="auto"/>
          <w:kern w:val="2"/>
          <w:sz w:val="32"/>
          <w:szCs w:val="32"/>
          <w:u w:val="none"/>
          <w:lang w:val="en-US" w:eastAsia="zh-CN" w:bidi="ar-SA"/>
        </w:rPr>
        <w:t>二、廉租资格的标准：“月人均可支配收入1425元以下”。</w:t>
      </w:r>
    </w:p>
    <w:p>
      <w:pPr>
        <w:keepNext w:val="0"/>
        <w:keepLines w:val="0"/>
        <w:widowControl/>
        <w:suppressLineNumbers w:val="0"/>
        <w:ind w:firstLine="640" w:firstLineChars="200"/>
        <w:jc w:val="left"/>
        <w:rPr>
          <w:rFonts w:hint="eastAsia" w:ascii="Times New Roman" w:hAnsi="Times New Roman" w:eastAsia="仿宋_GB2312" w:cs="Times New Roman"/>
          <w:color w:val="313131"/>
          <w:kern w:val="0"/>
          <w:sz w:val="32"/>
          <w:szCs w:val="32"/>
          <w:u w:val="none"/>
          <w:lang w:val="en-US" w:eastAsia="zh-CN"/>
        </w:rPr>
      </w:pPr>
      <w:r>
        <w:rPr>
          <w:rFonts w:hint="default" w:ascii="Times New Roman" w:hAnsi="Times New Roman" w:eastAsia="仿宋" w:cs="Times New Roman"/>
          <w:sz w:val="32"/>
          <w:szCs w:val="32"/>
          <w:u w:val="none"/>
        </w:rPr>
        <w:t>根据</w:t>
      </w:r>
      <w:r>
        <w:rPr>
          <w:rFonts w:hint="eastAsia" w:ascii="Times New Roman" w:hAnsi="Times New Roman" w:eastAsia="仿宋" w:cs="Times New Roman"/>
          <w:kern w:val="2"/>
          <w:sz w:val="32"/>
          <w:szCs w:val="32"/>
          <w:u w:val="none"/>
          <w:lang w:val="en-US" w:eastAsia="zh-CN" w:bidi="ar-SA"/>
        </w:rPr>
        <w:t xml:space="preserve">《关于印发&lt;关于江门市提高城乡最低生活保障标准和特困供养人员基本生活标准的公告&gt;的通知》（江民〔2024〕25号） </w:t>
      </w:r>
      <w:r>
        <w:rPr>
          <w:rFonts w:hint="default" w:ascii="Times New Roman" w:hAnsi="Times New Roman" w:eastAsia="仿宋" w:cs="Times New Roman"/>
          <w:kern w:val="2"/>
          <w:sz w:val="32"/>
          <w:szCs w:val="32"/>
          <w:u w:val="none"/>
          <w:lang w:val="en-US" w:eastAsia="zh-CN" w:bidi="ar-SA"/>
        </w:rPr>
        <w:t>，按照上年度的计算办法，</w:t>
      </w:r>
      <w:r>
        <w:rPr>
          <w:rFonts w:hint="eastAsia" w:ascii="Times New Roman" w:hAnsi="Times New Roman" w:eastAsia="仿宋" w:cs="Times New Roman"/>
          <w:kern w:val="2"/>
          <w:sz w:val="32"/>
          <w:szCs w:val="32"/>
          <w:u w:val="none"/>
          <w:lang w:val="en-US" w:eastAsia="zh-CN" w:bidi="ar-SA"/>
        </w:rPr>
        <w:t>符合</w:t>
      </w:r>
      <w:r>
        <w:rPr>
          <w:rFonts w:hint="default" w:ascii="Times New Roman" w:hAnsi="Times New Roman" w:eastAsia="仿宋" w:cs="Times New Roman"/>
          <w:kern w:val="2"/>
          <w:sz w:val="32"/>
          <w:szCs w:val="32"/>
          <w:u w:val="none"/>
          <w:lang w:val="en-US" w:eastAsia="zh-CN" w:bidi="ar-SA"/>
        </w:rPr>
        <w:t>廉租</w:t>
      </w:r>
      <w:r>
        <w:rPr>
          <w:rFonts w:hint="eastAsia" w:ascii="Times New Roman" w:hAnsi="Times New Roman" w:eastAsia="仿宋" w:cs="Times New Roman"/>
          <w:kern w:val="2"/>
          <w:sz w:val="32"/>
          <w:szCs w:val="32"/>
          <w:u w:val="none"/>
          <w:lang w:val="en-US" w:eastAsia="zh-CN" w:bidi="ar-SA"/>
        </w:rPr>
        <w:t>资格的</w:t>
      </w:r>
      <w:r>
        <w:rPr>
          <w:rFonts w:hint="default" w:ascii="Times New Roman" w:hAnsi="Times New Roman" w:eastAsia="仿宋" w:cs="Times New Roman"/>
          <w:sz w:val="32"/>
          <w:szCs w:val="32"/>
          <w:u w:val="none"/>
        </w:rPr>
        <w:t>收入标准按照当地最低生活保障线的</w:t>
      </w:r>
      <w:r>
        <w:rPr>
          <w:rFonts w:hint="default" w:ascii="Times New Roman" w:hAnsi="Times New Roman" w:eastAsia="仿宋" w:cs="Times New Roman"/>
          <w:sz w:val="32"/>
          <w:szCs w:val="32"/>
          <w:u w:val="none"/>
          <w:lang w:val="en-US" w:eastAsia="zh-CN"/>
        </w:rPr>
        <w:t>150</w:t>
      </w:r>
      <w:r>
        <w:rPr>
          <w:rFonts w:hint="default" w:ascii="Times New Roman" w:hAnsi="Times New Roman" w:eastAsia="仿宋" w:cs="Times New Roman"/>
          <w:sz w:val="32"/>
          <w:szCs w:val="32"/>
          <w:u w:val="none"/>
        </w:rPr>
        <w:t>%计算。20</w:t>
      </w:r>
      <w:r>
        <w:rPr>
          <w:rFonts w:hint="eastAsia" w:ascii="Times New Roman" w:hAnsi="Times New Roman" w:eastAsia="仿宋" w:cs="Times New Roman"/>
          <w:sz w:val="32"/>
          <w:szCs w:val="32"/>
          <w:u w:val="none"/>
          <w:lang w:val="en-US" w:eastAsia="zh-CN"/>
        </w:rPr>
        <w:t>24</w:t>
      </w:r>
      <w:r>
        <w:rPr>
          <w:rFonts w:hint="default" w:ascii="Times New Roman" w:hAnsi="Times New Roman" w:eastAsia="仿宋" w:cs="Times New Roman"/>
          <w:sz w:val="32"/>
          <w:szCs w:val="32"/>
          <w:u w:val="none"/>
        </w:rPr>
        <w:t>年我市城镇最低生活保障标准为</w:t>
      </w:r>
      <w:r>
        <w:rPr>
          <w:rFonts w:hint="eastAsia" w:ascii="Times New Roman" w:hAnsi="Times New Roman" w:eastAsia="仿宋" w:cs="Times New Roman"/>
          <w:sz w:val="32"/>
          <w:szCs w:val="32"/>
          <w:u w:val="none"/>
          <w:lang w:val="en-US" w:eastAsia="zh-CN"/>
        </w:rPr>
        <w:t>950</w:t>
      </w:r>
      <w:r>
        <w:rPr>
          <w:rFonts w:hint="default" w:ascii="Times New Roman" w:hAnsi="Times New Roman" w:eastAsia="仿宋" w:cs="Times New Roman"/>
          <w:sz w:val="32"/>
          <w:szCs w:val="32"/>
          <w:u w:val="none"/>
        </w:rPr>
        <w:t>元,即</w:t>
      </w:r>
      <w:r>
        <w:rPr>
          <w:rFonts w:hint="eastAsia" w:ascii="Times New Roman" w:hAnsi="Times New Roman" w:eastAsia="仿宋" w:cs="Times New Roman"/>
          <w:sz w:val="32"/>
          <w:szCs w:val="32"/>
          <w:u w:val="none"/>
          <w:lang w:val="en-US" w:eastAsia="zh-CN"/>
        </w:rPr>
        <w:t>950</w:t>
      </w:r>
      <w:r>
        <w:rPr>
          <w:rFonts w:hint="default" w:ascii="Times New Roman" w:hAnsi="Times New Roman" w:eastAsia="仿宋" w:cs="Times New Roman"/>
          <w:sz w:val="32"/>
          <w:szCs w:val="32"/>
          <w:u w:val="none"/>
        </w:rPr>
        <w:t>元×</w:t>
      </w:r>
      <w:r>
        <w:rPr>
          <w:rFonts w:hint="default" w:ascii="Times New Roman" w:hAnsi="Times New Roman" w:eastAsia="仿宋" w:cs="Times New Roman"/>
          <w:sz w:val="32"/>
          <w:szCs w:val="32"/>
          <w:u w:val="none"/>
          <w:lang w:val="en-US" w:eastAsia="zh-CN"/>
        </w:rPr>
        <w:t>15</w:t>
      </w:r>
      <w:r>
        <w:rPr>
          <w:rFonts w:hint="default" w:ascii="Times New Roman" w:hAnsi="Times New Roman" w:eastAsia="仿宋" w:cs="Times New Roman"/>
          <w:sz w:val="32"/>
          <w:szCs w:val="32"/>
          <w:u w:val="none"/>
        </w:rPr>
        <w:t>0%=</w:t>
      </w:r>
      <w:r>
        <w:rPr>
          <w:rFonts w:hint="eastAsia" w:ascii="Times New Roman" w:hAnsi="Times New Roman" w:eastAsia="仿宋" w:cs="Times New Roman"/>
          <w:sz w:val="32"/>
          <w:szCs w:val="32"/>
          <w:u w:val="none"/>
          <w:lang w:val="en-US" w:eastAsia="zh-CN"/>
        </w:rPr>
        <w:t>1425</w:t>
      </w:r>
      <w:r>
        <w:rPr>
          <w:rFonts w:hint="default" w:ascii="Times New Roman" w:hAnsi="Times New Roman" w:eastAsia="仿宋" w:cs="Times New Roman"/>
          <w:sz w:val="32"/>
          <w:szCs w:val="32"/>
          <w:u w:val="none"/>
        </w:rPr>
        <w:t>元。</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200" w:right="0" w:rightChars="0"/>
        <w:jc w:val="both"/>
        <w:textAlignment w:val="auto"/>
        <w:outlineLvl w:val="9"/>
        <w:rPr>
          <w:rFonts w:hint="eastAsia" w:ascii="楷体" w:hAnsi="楷体" w:eastAsia="楷体" w:cs="楷体"/>
          <w:b w:val="0"/>
          <w:bCs w:val="0"/>
          <w:color w:val="auto"/>
          <w:kern w:val="2"/>
          <w:sz w:val="32"/>
          <w:szCs w:val="32"/>
          <w:u w:val="none"/>
          <w:lang w:val="en-US" w:eastAsia="zh-CN" w:bidi="ar-SA"/>
        </w:rPr>
      </w:pPr>
      <w:r>
        <w:rPr>
          <w:rFonts w:hint="eastAsia" w:ascii="楷体" w:hAnsi="楷体" w:eastAsia="楷体" w:cs="楷体"/>
          <w:b w:val="0"/>
          <w:bCs w:val="0"/>
          <w:color w:val="auto"/>
          <w:kern w:val="2"/>
          <w:sz w:val="32"/>
          <w:szCs w:val="32"/>
          <w:u w:val="none"/>
          <w:lang w:val="en-US" w:eastAsia="zh-CN" w:bidi="ar-SA"/>
        </w:rPr>
        <w:t>三、家庭财产净值的标准：“人均5.8万元以下”。</w:t>
      </w:r>
    </w:p>
    <w:p>
      <w:pPr>
        <w:pStyle w:val="4"/>
        <w:keepNext w:val="0"/>
        <w:keepLines w:val="0"/>
        <w:pageBreakBefore w:val="0"/>
        <w:widowControl w:val="0"/>
        <w:numPr>
          <w:ilvl w:val="0"/>
          <w:numId w:val="0"/>
        </w:numPr>
        <w:kinsoku/>
        <w:wordWrap/>
        <w:overflowPunct/>
        <w:topLinePunct w:val="0"/>
        <w:autoSpaceDE/>
        <w:autoSpaceDN/>
        <w:bidi w:val="0"/>
        <w:adjustRightInd/>
        <w:snapToGrid/>
        <w:spacing w:line="580" w:lineRule="exact"/>
        <w:ind w:right="0" w:rightChars="0" w:firstLine="640" w:firstLineChars="200"/>
        <w:jc w:val="both"/>
        <w:textAlignment w:val="auto"/>
        <w:outlineLvl w:val="9"/>
        <w:rPr>
          <w:rFonts w:hint="eastAsia" w:ascii="Times New Roman" w:hAnsi="Times New Roman" w:eastAsia="仿宋_GB2312" w:cs="Times New Roman"/>
          <w:color w:val="313131"/>
          <w:kern w:val="0"/>
          <w:sz w:val="32"/>
          <w:szCs w:val="32"/>
          <w:lang w:val="en-US" w:eastAsia="zh-CN"/>
        </w:rPr>
      </w:pPr>
      <w:r>
        <w:rPr>
          <w:rFonts w:hint="default" w:ascii="Times New Roman" w:hAnsi="Times New Roman" w:eastAsia="仿宋" w:cs="Times New Roman"/>
          <w:b w:val="0"/>
          <w:bCs w:val="0"/>
          <w:color w:val="auto"/>
          <w:kern w:val="2"/>
          <w:sz w:val="32"/>
          <w:szCs w:val="32"/>
          <w:u w:val="none"/>
          <w:lang w:val="en-US" w:eastAsia="zh-CN" w:bidi="ar-SA"/>
        </w:rPr>
        <w:t>根据江门市计算标准，2022年江门市全年城镇常住居民人均可支配收入45400元比上年43622元增长4%的比例，即公共租赁住房人均家庭财产净值按照11.2万元</w:t>
      </w:r>
      <w:r>
        <w:rPr>
          <w:rFonts w:hint="default" w:ascii="Times New Roman" w:hAnsi="Times New Roman" w:eastAsia="仿宋" w:cs="Times New Roman"/>
          <w:sz w:val="32"/>
          <w:szCs w:val="32"/>
          <w:u w:val="none"/>
        </w:rPr>
        <w:t>×</w:t>
      </w:r>
      <w:r>
        <w:rPr>
          <w:rFonts w:hint="default" w:ascii="Times New Roman" w:hAnsi="Times New Roman" w:eastAsia="仿宋" w:cs="Times New Roman"/>
          <w:b w:val="0"/>
          <w:bCs w:val="0"/>
          <w:color w:val="auto"/>
          <w:kern w:val="2"/>
          <w:sz w:val="32"/>
          <w:szCs w:val="32"/>
          <w:u w:val="none"/>
          <w:lang w:val="en-US" w:eastAsia="zh-CN" w:bidi="ar-SA"/>
        </w:rPr>
        <w:t>(1+4%)=11.7万元。按江门市计算规则，我市申请家庭月人均可支配收入2023年标准按照</w:t>
      </w:r>
      <w:r>
        <w:rPr>
          <w:rFonts w:hint="eastAsia" w:ascii="Times New Roman" w:hAnsi="Times New Roman" w:eastAsia="仿宋" w:cs="Times New Roman"/>
          <w:b w:val="0"/>
          <w:bCs w:val="0"/>
          <w:color w:val="auto"/>
          <w:kern w:val="2"/>
          <w:sz w:val="32"/>
          <w:szCs w:val="32"/>
          <w:u w:val="none"/>
          <w:lang w:val="en-US" w:eastAsia="zh-CN" w:bidi="ar-SA"/>
        </w:rPr>
        <w:t>《关于提供有关情况资料的复函》</w:t>
      </w:r>
      <w:r>
        <w:rPr>
          <w:rFonts w:hint="default" w:ascii="Times New Roman" w:hAnsi="Times New Roman" w:eastAsia="仿宋" w:cs="Times New Roman"/>
          <w:b w:val="0"/>
          <w:bCs w:val="0"/>
          <w:color w:val="auto"/>
          <w:kern w:val="2"/>
          <w:sz w:val="32"/>
          <w:szCs w:val="32"/>
          <w:u w:val="none"/>
          <w:lang w:val="en-US" w:eastAsia="zh-CN" w:bidi="ar-SA"/>
        </w:rPr>
        <w:t>中2023年我市城镇居民(常住居民)人均可支配收入</w:t>
      </w:r>
      <w:r>
        <w:rPr>
          <w:rFonts w:hint="eastAsia" w:ascii="Times New Roman" w:hAnsi="Times New Roman" w:eastAsia="仿宋" w:cs="Times New Roman"/>
          <w:b w:val="0"/>
          <w:bCs w:val="0"/>
          <w:color w:val="auto"/>
          <w:kern w:val="2"/>
          <w:sz w:val="32"/>
          <w:szCs w:val="32"/>
          <w:u w:val="none"/>
          <w:lang w:val="en-US" w:eastAsia="zh-CN" w:bidi="ar-SA"/>
        </w:rPr>
        <w:t>33221</w:t>
      </w:r>
      <w:r>
        <w:rPr>
          <w:rFonts w:hint="default" w:ascii="Times New Roman" w:hAnsi="Times New Roman" w:eastAsia="仿宋" w:cs="Times New Roman"/>
          <w:b w:val="0"/>
          <w:bCs w:val="0"/>
          <w:color w:val="auto"/>
          <w:kern w:val="2"/>
          <w:sz w:val="32"/>
          <w:szCs w:val="32"/>
          <w:u w:val="none"/>
          <w:lang w:val="en-US" w:eastAsia="zh-CN" w:bidi="ar-SA"/>
        </w:rPr>
        <w:t>元/年，</w:t>
      </w:r>
      <w:r>
        <w:rPr>
          <w:rFonts w:hint="eastAsia" w:ascii="Times New Roman" w:hAnsi="Times New Roman" w:eastAsia="仿宋" w:cs="Times New Roman"/>
          <w:b w:val="0"/>
          <w:bCs w:val="0"/>
          <w:color w:val="auto"/>
          <w:kern w:val="2"/>
          <w:sz w:val="32"/>
          <w:szCs w:val="32"/>
          <w:u w:val="none"/>
          <w:lang w:val="en-US" w:eastAsia="zh-CN" w:bidi="ar-SA"/>
        </w:rPr>
        <w:t>2022年</w:t>
      </w:r>
      <w:r>
        <w:rPr>
          <w:rFonts w:hint="default" w:ascii="Times New Roman" w:hAnsi="Times New Roman" w:eastAsia="仿宋" w:cs="Times New Roman"/>
          <w:b w:val="0"/>
          <w:bCs w:val="0"/>
          <w:color w:val="auto"/>
          <w:kern w:val="2"/>
          <w:sz w:val="32"/>
          <w:szCs w:val="32"/>
          <w:u w:val="none"/>
          <w:lang w:val="en-US" w:eastAsia="zh-CN" w:bidi="ar-SA"/>
        </w:rPr>
        <w:t>我市城镇居民(常住居民)人均可支配收入为</w:t>
      </w:r>
      <w:r>
        <w:rPr>
          <w:rFonts w:hint="eastAsia" w:ascii="Times New Roman" w:hAnsi="Times New Roman" w:eastAsia="仿宋" w:cs="Times New Roman"/>
          <w:b w:val="0"/>
          <w:bCs w:val="0"/>
          <w:color w:val="auto"/>
          <w:kern w:val="2"/>
          <w:sz w:val="32"/>
          <w:szCs w:val="32"/>
          <w:u w:val="none"/>
          <w:lang w:val="en-US" w:eastAsia="zh-CN" w:bidi="ar-SA"/>
        </w:rPr>
        <w:t>31250</w:t>
      </w:r>
      <w:r>
        <w:rPr>
          <w:rFonts w:hint="default" w:ascii="Times New Roman" w:hAnsi="Times New Roman" w:eastAsia="仿宋" w:cs="Times New Roman"/>
          <w:b w:val="0"/>
          <w:bCs w:val="0"/>
          <w:color w:val="auto"/>
          <w:kern w:val="2"/>
          <w:sz w:val="32"/>
          <w:szCs w:val="32"/>
          <w:u w:val="none"/>
          <w:lang w:val="en-US" w:eastAsia="zh-CN" w:bidi="ar-SA"/>
        </w:rPr>
        <w:t>元;较上年相对增长比例为(</w:t>
      </w:r>
      <w:r>
        <w:rPr>
          <w:rFonts w:hint="eastAsia" w:ascii="Times New Roman" w:hAnsi="Times New Roman" w:eastAsia="仿宋" w:cs="Times New Roman"/>
          <w:b w:val="0"/>
          <w:bCs w:val="0"/>
          <w:color w:val="auto"/>
          <w:kern w:val="2"/>
          <w:sz w:val="32"/>
          <w:szCs w:val="32"/>
          <w:u w:val="none"/>
          <w:lang w:val="en-US" w:eastAsia="zh-CN" w:bidi="ar-SA"/>
        </w:rPr>
        <w:t>33221</w:t>
      </w:r>
      <w:r>
        <w:rPr>
          <w:rFonts w:hint="default" w:ascii="Times New Roman" w:hAnsi="Times New Roman" w:eastAsia="仿宋" w:cs="Times New Roman"/>
          <w:b w:val="0"/>
          <w:bCs w:val="0"/>
          <w:color w:val="auto"/>
          <w:kern w:val="2"/>
          <w:sz w:val="32"/>
          <w:szCs w:val="32"/>
          <w:u w:val="none"/>
          <w:lang w:val="en-US" w:eastAsia="zh-CN" w:bidi="ar-SA"/>
        </w:rPr>
        <w:t>-</w:t>
      </w:r>
      <w:r>
        <w:rPr>
          <w:rFonts w:hint="eastAsia" w:ascii="Times New Roman" w:hAnsi="Times New Roman" w:eastAsia="仿宋" w:cs="Times New Roman"/>
          <w:b w:val="0"/>
          <w:bCs w:val="0"/>
          <w:color w:val="auto"/>
          <w:kern w:val="2"/>
          <w:sz w:val="32"/>
          <w:szCs w:val="32"/>
          <w:u w:val="none"/>
          <w:lang w:val="en-US" w:eastAsia="zh-CN" w:bidi="ar-SA"/>
        </w:rPr>
        <w:t>31250</w:t>
      </w:r>
      <w:r>
        <w:rPr>
          <w:rFonts w:hint="default" w:ascii="Times New Roman" w:hAnsi="Times New Roman" w:eastAsia="仿宋" w:cs="Times New Roman"/>
          <w:b w:val="0"/>
          <w:bCs w:val="0"/>
          <w:color w:val="auto"/>
          <w:kern w:val="2"/>
          <w:sz w:val="32"/>
          <w:szCs w:val="32"/>
          <w:u w:val="none"/>
          <w:lang w:val="en-US" w:eastAsia="zh-CN" w:bidi="ar-SA"/>
        </w:rPr>
        <w:t>)/</w:t>
      </w:r>
      <w:r>
        <w:rPr>
          <w:rFonts w:hint="eastAsia" w:ascii="Times New Roman" w:hAnsi="Times New Roman" w:eastAsia="仿宋" w:cs="Times New Roman"/>
          <w:b w:val="0"/>
          <w:bCs w:val="0"/>
          <w:color w:val="auto"/>
          <w:kern w:val="2"/>
          <w:sz w:val="32"/>
          <w:szCs w:val="32"/>
          <w:u w:val="none"/>
          <w:lang w:val="en-US" w:eastAsia="zh-CN" w:bidi="ar-SA"/>
        </w:rPr>
        <w:t>31250</w:t>
      </w:r>
      <w:r>
        <w:rPr>
          <w:rFonts w:hint="default" w:ascii="Times New Roman" w:hAnsi="Times New Roman" w:eastAsia="仿宋" w:cs="Times New Roman"/>
          <w:b w:val="0"/>
          <w:bCs w:val="0"/>
          <w:color w:val="auto"/>
          <w:kern w:val="2"/>
          <w:sz w:val="32"/>
          <w:szCs w:val="32"/>
          <w:u w:val="none"/>
          <w:lang w:val="en-US" w:eastAsia="zh-CN" w:bidi="ar-SA"/>
        </w:rPr>
        <w:t>=</w:t>
      </w:r>
      <w:r>
        <w:rPr>
          <w:rFonts w:hint="eastAsia" w:ascii="Times New Roman" w:hAnsi="Times New Roman" w:eastAsia="仿宋" w:cs="Times New Roman"/>
          <w:b w:val="0"/>
          <w:bCs w:val="0"/>
          <w:color w:val="auto"/>
          <w:kern w:val="2"/>
          <w:sz w:val="32"/>
          <w:szCs w:val="32"/>
          <w:u w:val="none"/>
          <w:lang w:val="en-US" w:eastAsia="zh-CN" w:bidi="ar-SA"/>
        </w:rPr>
        <w:t xml:space="preserve"> 6.3</w:t>
      </w:r>
      <w:r>
        <w:rPr>
          <w:rFonts w:hint="default" w:ascii="Times New Roman" w:hAnsi="Times New Roman" w:eastAsia="仿宋" w:cs="Times New Roman"/>
          <w:b w:val="0"/>
          <w:bCs w:val="0"/>
          <w:color w:val="auto"/>
          <w:kern w:val="2"/>
          <w:sz w:val="32"/>
          <w:szCs w:val="32"/>
          <w:u w:val="none"/>
          <w:lang w:val="en-US" w:eastAsia="zh-CN" w:bidi="ar-SA"/>
        </w:rPr>
        <w:t>%，按增长比例计算家庭财产净值为:</w:t>
      </w:r>
      <w:r>
        <w:rPr>
          <w:rFonts w:hint="eastAsia" w:ascii="Times New Roman" w:hAnsi="Times New Roman" w:eastAsia="仿宋" w:cs="Times New Roman"/>
          <w:b w:val="0"/>
          <w:bCs w:val="0"/>
          <w:color w:val="auto"/>
          <w:kern w:val="2"/>
          <w:sz w:val="32"/>
          <w:szCs w:val="32"/>
          <w:u w:val="none"/>
          <w:lang w:val="en-US" w:eastAsia="zh-CN" w:bidi="ar-SA"/>
        </w:rPr>
        <w:t>5.5</w:t>
      </w:r>
      <w:r>
        <w:rPr>
          <w:rFonts w:hint="default" w:ascii="Times New Roman" w:hAnsi="Times New Roman" w:eastAsia="仿宋" w:cs="Times New Roman"/>
          <w:b w:val="0"/>
          <w:bCs w:val="0"/>
          <w:color w:val="auto"/>
          <w:kern w:val="2"/>
          <w:sz w:val="32"/>
          <w:szCs w:val="32"/>
          <w:u w:val="none"/>
          <w:lang w:val="en-US" w:eastAsia="zh-CN" w:bidi="ar-SA"/>
        </w:rPr>
        <w:t>万元</w:t>
      </w:r>
      <w:r>
        <w:rPr>
          <w:rFonts w:hint="default" w:ascii="Times New Roman" w:hAnsi="Times New Roman" w:eastAsia="仿宋" w:cs="Times New Roman"/>
          <w:sz w:val="32"/>
          <w:szCs w:val="32"/>
          <w:u w:val="none"/>
        </w:rPr>
        <w:t>×</w:t>
      </w:r>
      <w:r>
        <w:rPr>
          <w:rFonts w:hint="default" w:ascii="Times New Roman" w:hAnsi="Times New Roman" w:eastAsia="仿宋" w:cs="Times New Roman"/>
          <w:b w:val="0"/>
          <w:bCs w:val="0"/>
          <w:color w:val="auto"/>
          <w:kern w:val="2"/>
          <w:sz w:val="32"/>
          <w:szCs w:val="32"/>
          <w:u w:val="none"/>
          <w:lang w:val="en-US" w:eastAsia="zh-CN" w:bidi="ar-SA"/>
        </w:rPr>
        <w:t>(1+6.</w:t>
      </w:r>
      <w:r>
        <w:rPr>
          <w:rFonts w:hint="eastAsia" w:ascii="Times New Roman" w:hAnsi="Times New Roman" w:eastAsia="仿宋" w:cs="Times New Roman"/>
          <w:b w:val="0"/>
          <w:bCs w:val="0"/>
          <w:color w:val="auto"/>
          <w:kern w:val="2"/>
          <w:sz w:val="32"/>
          <w:szCs w:val="32"/>
          <w:u w:val="none"/>
          <w:lang w:val="en-US" w:eastAsia="zh-CN" w:bidi="ar-SA"/>
        </w:rPr>
        <w:t>3</w:t>
      </w:r>
      <w:r>
        <w:rPr>
          <w:rFonts w:hint="default" w:ascii="Times New Roman" w:hAnsi="Times New Roman" w:eastAsia="仿宋" w:cs="Times New Roman"/>
          <w:b w:val="0"/>
          <w:bCs w:val="0"/>
          <w:color w:val="auto"/>
          <w:kern w:val="2"/>
          <w:sz w:val="32"/>
          <w:szCs w:val="32"/>
          <w:u w:val="none"/>
          <w:lang w:val="en-US" w:eastAsia="zh-CN" w:bidi="ar-SA"/>
        </w:rPr>
        <w:t>%)=5.8465万元，四舍五入取</w:t>
      </w:r>
      <w:r>
        <w:rPr>
          <w:rFonts w:hint="eastAsia" w:ascii="Times New Roman" w:hAnsi="Times New Roman" w:eastAsia="仿宋" w:cs="Times New Roman"/>
          <w:b w:val="0"/>
          <w:bCs w:val="0"/>
          <w:color w:val="auto"/>
          <w:kern w:val="2"/>
          <w:sz w:val="32"/>
          <w:szCs w:val="32"/>
          <w:u w:val="none"/>
          <w:lang w:val="en-US" w:eastAsia="zh-CN" w:bidi="ar-SA"/>
        </w:rPr>
        <w:t>5.8</w:t>
      </w:r>
      <w:r>
        <w:rPr>
          <w:rFonts w:hint="default" w:ascii="Times New Roman" w:hAnsi="Times New Roman" w:eastAsia="仿宋" w:cs="Times New Roman"/>
          <w:b w:val="0"/>
          <w:bCs w:val="0"/>
          <w:color w:val="auto"/>
          <w:kern w:val="2"/>
          <w:sz w:val="32"/>
          <w:szCs w:val="32"/>
          <w:u w:val="none"/>
          <w:lang w:val="en-US" w:eastAsia="zh-CN" w:bidi="ar-SA"/>
        </w:rPr>
        <w:t>万元。</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 w:cs="Times New Roman"/>
          <w:b w:val="0"/>
          <w:bCs w:val="0"/>
          <w:color w:val="auto"/>
          <w:kern w:val="2"/>
          <w:sz w:val="32"/>
          <w:szCs w:val="32"/>
          <w:u w:val="single"/>
          <w:lang w:val="en-US" w:eastAsia="zh-CN" w:bidi="ar-SA"/>
        </w:rPr>
      </w:pPr>
      <w:r>
        <w:rPr>
          <w:rFonts w:hint="eastAsia" w:ascii="楷体" w:hAnsi="楷体" w:eastAsia="楷体" w:cs="楷体"/>
          <w:b w:val="0"/>
          <w:bCs w:val="0"/>
          <w:color w:val="auto"/>
          <w:kern w:val="2"/>
          <w:sz w:val="32"/>
          <w:szCs w:val="32"/>
          <w:u w:val="none"/>
          <w:lang w:val="en-US" w:eastAsia="zh-CN" w:bidi="ar-SA"/>
        </w:rPr>
        <w:t>四、在本市城镇无自有住房，或虽有自有住房但家庭人均住房建筑面积15平方米以下。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outlineLvl w:val="9"/>
        <w:rPr>
          <w:rFonts w:hint="default" w:ascii="Times New Roman" w:hAnsi="Times New Roman" w:eastAsia="仿宋" w:cs="Times New Roman"/>
          <w:sz w:val="32"/>
          <w:szCs w:val="32"/>
        </w:rPr>
      </w:pPr>
      <w:r>
        <w:rPr>
          <w:rFonts w:hint="default" w:ascii="Times New Roman" w:hAnsi="Times New Roman" w:eastAsia="仿宋" w:cs="Times New Roman"/>
          <w:sz w:val="32"/>
          <w:szCs w:val="32"/>
        </w:rPr>
        <w:t>根据《广东省基本公共服务均等化规划纲要（2009-2020年）（2017年修编版）》，至2020年解决人均住房建筑面积15平方米以下的城镇低收入住房困难家庭的住房问题。</w:t>
      </w:r>
      <w:r>
        <w:rPr>
          <w:rFonts w:hint="eastAsia" w:ascii="Times New Roman" w:hAnsi="Times New Roman" w:eastAsia="仿宋" w:cs="Times New Roman"/>
          <w:sz w:val="32"/>
          <w:szCs w:val="32"/>
          <w:lang w:eastAsia="zh-CN"/>
        </w:rPr>
        <w:t>由于</w:t>
      </w:r>
      <w:r>
        <w:rPr>
          <w:rFonts w:hint="default" w:ascii="Times New Roman" w:hAnsi="Times New Roman" w:eastAsia="仿宋" w:cs="Times New Roman"/>
          <w:sz w:val="32"/>
          <w:szCs w:val="32"/>
          <w:lang w:eastAsia="zh-CN"/>
        </w:rPr>
        <w:t>恩平</w:t>
      </w:r>
      <w:r>
        <w:rPr>
          <w:rFonts w:hint="default" w:ascii="Times New Roman" w:hAnsi="Times New Roman" w:eastAsia="仿宋" w:cs="Times New Roman"/>
          <w:sz w:val="32"/>
          <w:szCs w:val="32"/>
        </w:rPr>
        <w:t>市区已于201</w:t>
      </w:r>
      <w:r>
        <w:rPr>
          <w:rFonts w:hint="default" w:ascii="Times New Roman" w:hAnsi="Times New Roman" w:eastAsia="仿宋" w:cs="Times New Roman"/>
          <w:sz w:val="32"/>
          <w:szCs w:val="32"/>
          <w:lang w:val="en-US" w:eastAsia="zh-CN"/>
        </w:rPr>
        <w:t>5</w:t>
      </w:r>
      <w:r>
        <w:rPr>
          <w:rFonts w:hint="default" w:ascii="Times New Roman" w:hAnsi="Times New Roman" w:eastAsia="仿宋" w:cs="Times New Roman"/>
          <w:sz w:val="32"/>
          <w:szCs w:val="32"/>
        </w:rPr>
        <w:t>年提前实现这一目标，因此</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建议20</w:t>
      </w:r>
      <w:r>
        <w:rPr>
          <w:rFonts w:hint="eastAsia" w:ascii="Times New Roman" w:hAnsi="Times New Roman" w:eastAsia="仿宋" w:cs="Times New Roman"/>
          <w:sz w:val="32"/>
          <w:szCs w:val="32"/>
          <w:lang w:val="en-US" w:eastAsia="zh-CN"/>
        </w:rPr>
        <w:t>24</w:t>
      </w:r>
      <w:r>
        <w:rPr>
          <w:rFonts w:hint="default" w:ascii="Times New Roman" w:hAnsi="Times New Roman" w:eastAsia="仿宋" w:cs="Times New Roman"/>
          <w:sz w:val="32"/>
          <w:szCs w:val="32"/>
        </w:rPr>
        <w:t>年住房保障人均住房保障建筑面积维持15平方米不变。</w:t>
      </w:r>
    </w:p>
    <w:p>
      <w:pPr>
        <w:pStyle w:val="2"/>
        <w:rPr>
          <w:rFonts w:hint="default"/>
        </w:rPr>
      </w:pPr>
    </w:p>
    <w:p>
      <w:pPr>
        <w:pStyle w:val="2"/>
        <w:numPr>
          <w:ilvl w:val="0"/>
          <w:numId w:val="1"/>
        </w:numPr>
        <w:ind w:firstLine="640" w:firstLineChars="200"/>
        <w:rPr>
          <w:rFonts w:hint="eastAsia" w:ascii="楷体" w:hAnsi="楷体" w:eastAsia="楷体" w:cs="楷体"/>
          <w:b w:val="0"/>
          <w:bCs w:val="0"/>
          <w:color w:val="auto"/>
          <w:kern w:val="2"/>
          <w:sz w:val="32"/>
          <w:szCs w:val="32"/>
          <w:u w:val="none"/>
          <w:lang w:val="en-US" w:eastAsia="zh-CN" w:bidi="ar-SA"/>
        </w:rPr>
      </w:pPr>
      <w:r>
        <w:rPr>
          <w:rFonts w:hint="eastAsia" w:ascii="楷体" w:hAnsi="楷体" w:eastAsia="楷体" w:cs="楷体"/>
          <w:b w:val="0"/>
          <w:bCs w:val="0"/>
          <w:color w:val="auto"/>
          <w:kern w:val="2"/>
          <w:sz w:val="32"/>
          <w:szCs w:val="32"/>
          <w:u w:val="none"/>
          <w:lang w:val="en-US" w:eastAsia="zh-CN" w:bidi="ar-SA"/>
        </w:rPr>
        <w:t>将</w:t>
      </w:r>
      <w:r>
        <w:rPr>
          <w:rFonts w:hint="default" w:ascii="楷体" w:hAnsi="楷体" w:eastAsia="楷体" w:cs="楷体"/>
          <w:b w:val="0"/>
          <w:bCs w:val="0"/>
          <w:color w:val="auto"/>
          <w:kern w:val="2"/>
          <w:sz w:val="32"/>
          <w:szCs w:val="32"/>
          <w:u w:val="none"/>
          <w:lang w:val="en-US" w:eastAsia="zh-CN" w:bidi="ar-SA"/>
        </w:rPr>
        <w:t>消防救援人员</w:t>
      </w:r>
      <w:r>
        <w:rPr>
          <w:rFonts w:hint="eastAsia" w:ascii="楷体" w:hAnsi="楷体" w:eastAsia="楷体" w:cs="楷体"/>
          <w:b w:val="0"/>
          <w:bCs w:val="0"/>
          <w:color w:val="auto"/>
          <w:kern w:val="2"/>
          <w:sz w:val="32"/>
          <w:szCs w:val="32"/>
          <w:u w:val="none"/>
          <w:lang w:val="en-US" w:eastAsia="zh-CN" w:bidi="ar-SA"/>
        </w:rPr>
        <w:t>纳入保障对象。</w:t>
      </w:r>
    </w:p>
    <w:p>
      <w:pPr>
        <w:pStyle w:val="2"/>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根据《广东省消防救援队伍职业保障办法》第十九条“各地人民政府应当将符合条件的消防救援人员纳入当地住房保障范畴，在同等条件下优先予以保障”规定及江门市相关规定，将消防救援人员纳入保障范围。</w:t>
      </w:r>
    </w:p>
    <w:p>
      <w:pPr>
        <w:pStyle w:val="2"/>
        <w:keepNext w:val="0"/>
        <w:keepLines w:val="0"/>
        <w:pageBreakBefore w:val="0"/>
        <w:widowControl w:val="0"/>
        <w:numPr>
          <w:ilvl w:val="0"/>
          <w:numId w:val="1"/>
        </w:numPr>
        <w:kinsoku/>
        <w:wordWrap/>
        <w:overflowPunct/>
        <w:topLinePunct w:val="0"/>
        <w:autoSpaceDE/>
        <w:autoSpaceDN/>
        <w:bidi w:val="0"/>
        <w:adjustRightInd/>
        <w:snapToGrid w:val="0"/>
        <w:spacing w:line="580" w:lineRule="exact"/>
        <w:ind w:left="0" w:leftChars="0" w:firstLine="640" w:firstLineChars="200"/>
        <w:textAlignment w:val="auto"/>
        <w:rPr>
          <w:rFonts w:hint="eastAsia" w:ascii="楷体" w:hAnsi="楷体" w:eastAsia="楷体" w:cs="楷体"/>
          <w:b w:val="0"/>
          <w:bCs w:val="0"/>
          <w:color w:val="auto"/>
          <w:kern w:val="2"/>
          <w:sz w:val="32"/>
          <w:szCs w:val="32"/>
          <w:u w:val="none"/>
          <w:lang w:val="en-US" w:eastAsia="zh-CN" w:bidi="ar-SA"/>
        </w:rPr>
      </w:pPr>
      <w:r>
        <w:rPr>
          <w:rFonts w:hint="eastAsia" w:ascii="楷体" w:hAnsi="楷体" w:eastAsia="楷体" w:cs="楷体"/>
          <w:b w:val="0"/>
          <w:bCs w:val="0"/>
          <w:color w:val="auto"/>
          <w:kern w:val="2"/>
          <w:sz w:val="32"/>
          <w:szCs w:val="32"/>
          <w:u w:val="none"/>
          <w:lang w:val="en-US" w:eastAsia="zh-CN" w:bidi="ar-SA"/>
        </w:rPr>
        <w:t>调整教师、医生的年龄，由原来的“教师、医生的年龄在35周岁以下”调整为“</w:t>
      </w:r>
      <w:r>
        <w:rPr>
          <w:rFonts w:hint="default" w:ascii="楷体" w:hAnsi="楷体" w:eastAsia="楷体" w:cs="楷体"/>
          <w:b w:val="0"/>
          <w:bCs w:val="0"/>
          <w:color w:val="auto"/>
          <w:kern w:val="2"/>
          <w:sz w:val="32"/>
          <w:szCs w:val="32"/>
          <w:u w:val="none"/>
          <w:lang w:val="en-US" w:eastAsia="zh-CN" w:bidi="ar-SA"/>
        </w:rPr>
        <w:t>教师、医生的年龄在</w:t>
      </w:r>
      <w:r>
        <w:rPr>
          <w:rFonts w:hint="eastAsia" w:ascii="楷体" w:hAnsi="楷体" w:eastAsia="楷体" w:cs="楷体"/>
          <w:b w:val="0"/>
          <w:bCs w:val="0"/>
          <w:color w:val="auto"/>
          <w:kern w:val="2"/>
          <w:sz w:val="32"/>
          <w:szCs w:val="32"/>
          <w:u w:val="none"/>
          <w:lang w:val="en-US" w:eastAsia="zh-CN" w:bidi="ar-SA"/>
        </w:rPr>
        <w:t>40</w:t>
      </w:r>
      <w:r>
        <w:rPr>
          <w:rFonts w:hint="default" w:ascii="楷体" w:hAnsi="楷体" w:eastAsia="楷体" w:cs="楷体"/>
          <w:b w:val="0"/>
          <w:bCs w:val="0"/>
          <w:color w:val="auto"/>
          <w:kern w:val="2"/>
          <w:sz w:val="32"/>
          <w:szCs w:val="32"/>
          <w:u w:val="none"/>
          <w:lang w:val="en-US" w:eastAsia="zh-CN" w:bidi="ar-SA"/>
        </w:rPr>
        <w:t>周岁以下</w:t>
      </w:r>
      <w:r>
        <w:rPr>
          <w:rFonts w:hint="eastAsia" w:ascii="楷体" w:hAnsi="楷体" w:eastAsia="楷体" w:cs="楷体"/>
          <w:b w:val="0"/>
          <w:bCs w:val="0"/>
          <w:color w:val="auto"/>
          <w:kern w:val="2"/>
          <w:sz w:val="32"/>
          <w:szCs w:val="32"/>
          <w:u w:val="none"/>
          <w:lang w:val="en-US" w:eastAsia="zh-CN" w:bidi="ar-SA"/>
        </w:rPr>
        <w:t>”</w:t>
      </w:r>
    </w:p>
    <w:p>
      <w:pPr>
        <w:pStyle w:val="2"/>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0" w:firstLineChars="200"/>
        <w:textAlignment w:val="auto"/>
        <w:rPr>
          <w:rFonts w:hint="eastAsia" w:ascii="仿宋" w:hAnsi="仿宋" w:eastAsia="仿宋" w:cs="仿宋"/>
          <w:color w:val="000000"/>
          <w:kern w:val="0"/>
          <w:sz w:val="32"/>
          <w:szCs w:val="32"/>
          <w:lang w:val="en-US" w:eastAsia="zh-CN" w:bidi="ar-SA"/>
        </w:rPr>
      </w:pPr>
      <w:r>
        <w:rPr>
          <w:rFonts w:hint="eastAsia" w:ascii="仿宋" w:hAnsi="仿宋" w:eastAsia="仿宋" w:cs="仿宋"/>
          <w:color w:val="000000"/>
          <w:kern w:val="0"/>
          <w:sz w:val="32"/>
          <w:szCs w:val="32"/>
          <w:lang w:val="en-US" w:eastAsia="zh-CN" w:bidi="ar-SA"/>
        </w:rPr>
        <w:t>根据《江门市2024年公共租赁住房保障范围公告》，确定我市青年教师、青年医生保障范围放宽至40岁以下。</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outlineLvl w:val="9"/>
        <w:rPr>
          <w:rFonts w:hint="eastAsia" w:ascii="楷体" w:hAnsi="楷体" w:eastAsia="楷体" w:cs="楷体"/>
          <w:color w:val="313131"/>
          <w:kern w:val="0"/>
          <w:sz w:val="32"/>
          <w:szCs w:val="32"/>
          <w:u w:val="none"/>
          <w:lang w:val="en-US" w:eastAsia="zh-CN"/>
        </w:rPr>
      </w:pPr>
      <w:r>
        <w:rPr>
          <w:rFonts w:hint="eastAsia" w:ascii="楷体" w:hAnsi="楷体" w:eastAsia="楷体" w:cs="楷体"/>
          <w:b w:val="0"/>
          <w:bCs w:val="0"/>
          <w:color w:val="auto"/>
          <w:kern w:val="2"/>
          <w:sz w:val="32"/>
          <w:szCs w:val="32"/>
          <w:u w:val="none"/>
          <w:lang w:val="en-US" w:eastAsia="zh-CN" w:bidi="ar-SA"/>
        </w:rPr>
        <w:t>七、调整青年医生、青年教师、环卫工人、公交司机家庭月人均可支配收入标准，由原来</w:t>
      </w:r>
      <w:r>
        <w:rPr>
          <w:rFonts w:hint="eastAsia" w:ascii="楷体" w:hAnsi="楷体" w:eastAsia="楷体" w:cs="楷体"/>
          <w:color w:val="313131"/>
          <w:kern w:val="0"/>
          <w:sz w:val="32"/>
          <w:szCs w:val="32"/>
          <w:u w:val="none"/>
          <w:lang w:val="en-US" w:eastAsia="zh-CN"/>
        </w:rPr>
        <w:t>的“</w:t>
      </w:r>
      <w:r>
        <w:rPr>
          <w:rFonts w:hint="default" w:ascii="楷体" w:hAnsi="楷体" w:eastAsia="楷体" w:cs="楷体"/>
          <w:b w:val="0"/>
          <w:bCs w:val="0"/>
          <w:color w:val="auto"/>
          <w:kern w:val="2"/>
          <w:sz w:val="32"/>
          <w:szCs w:val="32"/>
          <w:u w:val="none"/>
          <w:lang w:val="en-US" w:eastAsia="zh-CN" w:bidi="ar-SA"/>
        </w:rPr>
        <w:t>家庭月人均可支配收入</w:t>
      </w:r>
      <w:r>
        <w:rPr>
          <w:rFonts w:hint="eastAsia" w:ascii="楷体" w:hAnsi="楷体" w:eastAsia="楷体" w:cs="楷体"/>
          <w:b w:val="0"/>
          <w:bCs w:val="0"/>
          <w:color w:val="auto"/>
          <w:kern w:val="2"/>
          <w:sz w:val="32"/>
          <w:szCs w:val="32"/>
          <w:u w:val="none"/>
          <w:lang w:val="en-US" w:eastAsia="zh-CN" w:bidi="ar-SA"/>
        </w:rPr>
        <w:t>4580</w:t>
      </w:r>
      <w:r>
        <w:rPr>
          <w:rFonts w:hint="default" w:ascii="楷体" w:hAnsi="楷体" w:eastAsia="楷体" w:cs="楷体"/>
          <w:b w:val="0"/>
          <w:bCs w:val="0"/>
          <w:color w:val="auto"/>
          <w:kern w:val="2"/>
          <w:sz w:val="32"/>
          <w:szCs w:val="32"/>
          <w:u w:val="none"/>
          <w:lang w:val="en-US" w:eastAsia="zh-CN" w:bidi="ar-SA"/>
        </w:rPr>
        <w:t>元以下</w:t>
      </w:r>
      <w:r>
        <w:rPr>
          <w:rFonts w:hint="eastAsia" w:ascii="楷体" w:hAnsi="楷体" w:eastAsia="楷体" w:cs="楷体"/>
          <w:b w:val="0"/>
          <w:bCs w:val="0"/>
          <w:color w:val="auto"/>
          <w:kern w:val="2"/>
          <w:sz w:val="32"/>
          <w:szCs w:val="32"/>
          <w:u w:val="none"/>
          <w:lang w:val="en-US" w:eastAsia="zh-CN" w:bidi="ar-SA"/>
        </w:rPr>
        <w:t>”调整为“</w:t>
      </w:r>
      <w:r>
        <w:rPr>
          <w:rFonts w:hint="default" w:ascii="楷体" w:hAnsi="楷体" w:eastAsia="楷体" w:cs="楷体"/>
          <w:b w:val="0"/>
          <w:bCs w:val="0"/>
          <w:color w:val="auto"/>
          <w:kern w:val="2"/>
          <w:sz w:val="32"/>
          <w:szCs w:val="32"/>
          <w:u w:val="none"/>
          <w:lang w:val="en-US" w:eastAsia="zh-CN" w:bidi="ar-SA"/>
        </w:rPr>
        <w:t>家庭月人均可支配收入</w:t>
      </w:r>
      <w:r>
        <w:rPr>
          <w:rFonts w:hint="eastAsia" w:ascii="楷体" w:hAnsi="楷体" w:eastAsia="楷体" w:cs="楷体"/>
          <w:color w:val="313131"/>
          <w:kern w:val="0"/>
          <w:sz w:val="32"/>
          <w:szCs w:val="32"/>
          <w:u w:val="none"/>
          <w:lang w:val="en-US" w:eastAsia="zh-CN"/>
        </w:rPr>
        <w:t>4767</w:t>
      </w:r>
      <w:r>
        <w:rPr>
          <w:rFonts w:hint="default" w:ascii="楷体" w:hAnsi="楷体" w:eastAsia="楷体" w:cs="楷体"/>
          <w:b w:val="0"/>
          <w:bCs w:val="0"/>
          <w:color w:val="auto"/>
          <w:kern w:val="2"/>
          <w:sz w:val="32"/>
          <w:szCs w:val="32"/>
          <w:u w:val="none"/>
          <w:lang w:val="en-US" w:eastAsia="zh-CN" w:bidi="ar-SA"/>
        </w:rPr>
        <w:t>元以下</w:t>
      </w:r>
      <w:r>
        <w:rPr>
          <w:rFonts w:hint="eastAsia" w:ascii="楷体" w:hAnsi="楷体" w:eastAsia="楷体" w:cs="楷体"/>
          <w:b w:val="0"/>
          <w:bCs w:val="0"/>
          <w:color w:val="auto"/>
          <w:kern w:val="2"/>
          <w:sz w:val="32"/>
          <w:szCs w:val="32"/>
          <w:u w:val="none"/>
          <w:lang w:val="en-US" w:eastAsia="zh-CN" w:bidi="ar-SA"/>
        </w:rPr>
        <w:t>”</w:t>
      </w:r>
      <w:r>
        <w:rPr>
          <w:rFonts w:hint="eastAsia" w:ascii="楷体" w:hAnsi="楷体" w:eastAsia="楷体" w:cs="楷体"/>
          <w:color w:val="313131"/>
          <w:kern w:val="0"/>
          <w:sz w:val="32"/>
          <w:szCs w:val="32"/>
          <w:u w:val="none"/>
          <w:lang w:val="en-US" w:eastAsia="zh-CN"/>
        </w:rPr>
        <w:t>。</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Times New Roman" w:hAnsi="Times New Roman" w:eastAsia="仿宋" w:cs="Times New Roman"/>
          <w:b w:val="0"/>
          <w:bCs w:val="0"/>
          <w:color w:val="000000"/>
          <w:kern w:val="0"/>
          <w:sz w:val="32"/>
          <w:szCs w:val="32"/>
          <w:lang w:val="en-US" w:eastAsia="zh-CN" w:bidi="ar-SA"/>
        </w:rPr>
      </w:pPr>
      <w:r>
        <w:rPr>
          <w:rFonts w:hint="eastAsia" w:ascii="Times New Roman" w:hAnsi="Times New Roman" w:eastAsia="仿宋" w:cs="Times New Roman"/>
          <w:b w:val="0"/>
          <w:bCs w:val="0"/>
          <w:color w:val="000000"/>
          <w:kern w:val="0"/>
          <w:sz w:val="32"/>
          <w:szCs w:val="32"/>
          <w:lang w:val="en-US" w:eastAsia="zh-CN" w:bidi="ar-SA"/>
        </w:rPr>
        <w:t>根据</w:t>
      </w:r>
      <w:r>
        <w:rPr>
          <w:rFonts w:hint="default" w:ascii="Times New Roman" w:hAnsi="Times New Roman" w:eastAsia="仿宋" w:cs="Times New Roman"/>
          <w:b w:val="0"/>
          <w:bCs w:val="0"/>
          <w:color w:val="000000"/>
          <w:kern w:val="0"/>
          <w:sz w:val="32"/>
          <w:szCs w:val="32"/>
          <w:lang w:val="en-US" w:eastAsia="zh-CN" w:bidi="ar-SA"/>
        </w:rPr>
        <w:t>《恩平市</w:t>
      </w:r>
      <w:r>
        <w:rPr>
          <w:rFonts w:hint="eastAsia" w:ascii="Times New Roman" w:hAnsi="Times New Roman" w:eastAsia="仿宋" w:cs="Times New Roman"/>
          <w:b w:val="0"/>
          <w:bCs w:val="0"/>
          <w:color w:val="000000"/>
          <w:kern w:val="0"/>
          <w:sz w:val="32"/>
          <w:szCs w:val="32"/>
          <w:lang w:val="en-US" w:eastAsia="zh-CN" w:bidi="ar-SA"/>
        </w:rPr>
        <w:t>公共租赁住房管理暂行办法</w:t>
      </w:r>
      <w:r>
        <w:rPr>
          <w:rFonts w:hint="default" w:ascii="Times New Roman" w:hAnsi="Times New Roman" w:eastAsia="仿宋" w:cs="Times New Roman"/>
          <w:b w:val="0"/>
          <w:bCs w:val="0"/>
          <w:color w:val="000000"/>
          <w:kern w:val="0"/>
          <w:sz w:val="32"/>
          <w:szCs w:val="32"/>
          <w:lang w:val="en-US" w:eastAsia="zh-CN" w:bidi="ar-SA"/>
        </w:rPr>
        <w:t>》</w:t>
      </w:r>
      <w:r>
        <w:rPr>
          <w:rFonts w:hint="eastAsia" w:ascii="Times New Roman" w:hAnsi="Times New Roman" w:eastAsia="仿宋" w:cs="Times New Roman"/>
          <w:b w:val="0"/>
          <w:bCs w:val="0"/>
          <w:color w:val="000000"/>
          <w:kern w:val="0"/>
          <w:sz w:val="32"/>
          <w:szCs w:val="32"/>
          <w:lang w:val="en-US" w:eastAsia="zh-CN" w:bidi="ar-SA"/>
        </w:rPr>
        <w:t>的规定，将我市青年医生、青年教师、环卫工人、公交司机等城市基本公共服务行业人员纳入保障范围。同时，为配合我市户籍制度改革，使青年医生、青年教师、环卫工人、公交司机等城市基本公共服务行业人员更容易通过申请公共租赁住房从而落户恩平，按照江门市对此类人群的保障标准，根据《江门市区2024年度公共租赁住房保障范围公告》的规定，确定我市</w:t>
      </w:r>
      <w:r>
        <w:rPr>
          <w:rFonts w:hint="default" w:ascii="Times New Roman" w:hAnsi="Times New Roman" w:eastAsia="仿宋" w:cs="Times New Roman"/>
          <w:b w:val="0"/>
          <w:bCs w:val="0"/>
          <w:color w:val="000000"/>
          <w:kern w:val="0"/>
          <w:sz w:val="32"/>
          <w:szCs w:val="32"/>
          <w:lang w:val="en-US" w:eastAsia="zh-CN" w:bidi="ar-SA"/>
        </w:rPr>
        <w:t>青年医生、青年教师、环卫工人、公交司机家庭月人均可支配收入</w:t>
      </w:r>
      <w:r>
        <w:rPr>
          <w:rFonts w:hint="eastAsia" w:ascii="Times New Roman" w:hAnsi="Times New Roman" w:eastAsia="仿宋" w:cs="Times New Roman"/>
          <w:b w:val="0"/>
          <w:bCs w:val="0"/>
          <w:color w:val="000000"/>
          <w:kern w:val="0"/>
          <w:sz w:val="32"/>
          <w:szCs w:val="32"/>
          <w:lang w:val="en-US" w:eastAsia="zh-CN" w:bidi="ar-SA"/>
        </w:rPr>
        <w:t>4767</w:t>
      </w:r>
      <w:r>
        <w:rPr>
          <w:rFonts w:hint="default" w:ascii="Times New Roman" w:hAnsi="Times New Roman" w:eastAsia="仿宋" w:cs="Times New Roman"/>
          <w:b w:val="0"/>
          <w:bCs w:val="0"/>
          <w:color w:val="000000"/>
          <w:kern w:val="0"/>
          <w:sz w:val="32"/>
          <w:szCs w:val="32"/>
          <w:lang w:val="en-US" w:eastAsia="zh-CN" w:bidi="ar-SA"/>
        </w:rPr>
        <w:t>元以下</w:t>
      </w:r>
      <w:r>
        <w:rPr>
          <w:rFonts w:hint="eastAsia" w:ascii="Times New Roman" w:hAnsi="Times New Roman" w:eastAsia="仿宋" w:cs="Times New Roman"/>
          <w:b w:val="0"/>
          <w:bCs w:val="0"/>
          <w:color w:val="000000"/>
          <w:kern w:val="0"/>
          <w:sz w:val="32"/>
          <w:szCs w:val="32"/>
          <w:lang w:val="en-US" w:eastAsia="zh-CN" w:bidi="ar-SA"/>
        </w:rPr>
        <w:t>。</w:t>
      </w:r>
    </w:p>
    <w:p>
      <w:pPr>
        <w:keepNext w:val="0"/>
        <w:keepLines w:val="0"/>
        <w:pageBreakBefore w:val="0"/>
        <w:kinsoku/>
        <w:wordWrap/>
        <w:overflowPunct/>
        <w:topLinePunct w:val="0"/>
        <w:autoSpaceDE/>
        <w:autoSpaceDN/>
        <w:bidi w:val="0"/>
        <w:adjustRightInd/>
        <w:snapToGrid/>
        <w:spacing w:line="600" w:lineRule="exact"/>
        <w:textAlignment w:val="auto"/>
      </w:pPr>
      <w:bookmarkStart w:id="0" w:name="_GoBack"/>
      <w:bookmarkEnd w:id="0"/>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D65B6E"/>
    <w:multiLevelType w:val="singleLevel"/>
    <w:tmpl w:val="B4D65B6E"/>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wNjE4ZDQ3M2M0N2ZkMDU0ZGZlNjAwNTMzMTA0ZDgifQ=="/>
    <w:docVar w:name="KSO_WPS_MARK_KEY" w:val="3e528cfb-67ad-4749-8a9c-2ea65462cd20"/>
  </w:docVars>
  <w:rsids>
    <w:rsidRoot w:val="36A24436"/>
    <w:rsid w:val="36A24436"/>
    <w:rsid w:val="3BFD13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color w:val="000000"/>
      <w:sz w:val="21"/>
      <w:szCs w:val="21"/>
      <w:lang w:val="en-US" w:eastAsia="zh-CN" w:bidi="ar-SA"/>
    </w:rPr>
  </w:style>
  <w:style w:type="paragraph" w:styleId="3">
    <w:name w:val="heading 1"/>
    <w:basedOn w:val="1"/>
    <w:next w:val="1"/>
    <w:qFormat/>
    <w:uiPriority w:val="0"/>
    <w:pPr>
      <w:keepNext/>
      <w:keepLines/>
      <w:spacing w:before="340" w:after="330" w:line="576" w:lineRule="auto"/>
      <w:outlineLvl w:val="0"/>
    </w:pPr>
    <w:rPr>
      <w:b/>
      <w:bCs/>
      <w:kern w:val="44"/>
      <w:sz w:val="44"/>
      <w:szCs w:val="44"/>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note text"/>
    <w:basedOn w:val="1"/>
    <w:qFormat/>
    <w:uiPriority w:val="0"/>
    <w:pPr>
      <w:snapToGrid w:val="0"/>
      <w:jc w:val="left"/>
    </w:pPr>
    <w:rPr>
      <w:rFonts w:eastAsia="宋体"/>
      <w:kern w:val="2"/>
      <w:sz w:val="18"/>
      <w:lang w:val="en-US" w:eastAsia="zh-CN" w:bidi="ar-SA"/>
    </w:rPr>
  </w:style>
  <w:style w:type="paragraph" w:styleId="4">
    <w:name w:val="Plain Text"/>
    <w:basedOn w:val="1"/>
    <w:qFormat/>
    <w:uiPriority w:val="0"/>
    <w:rPr>
      <w:rFonts w:ascii="宋体" w:hAnsi="Courier New" w:cs="Courier New"/>
      <w:szCs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1067</Words>
  <Characters>1191</Characters>
  <Lines>0</Lines>
  <Paragraphs>0</Paragraphs>
  <TotalTime>0</TotalTime>
  <ScaleCrop>false</ScaleCrop>
  <LinksUpToDate>false</LinksUpToDate>
  <CharactersWithSpaces>1194</CharactersWithSpaces>
  <Application>WPS Office_11.1.0.15319_F1E327BC-269C-435d-A152-05C5408002CA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2023-12-08T09:16:00Z</dcterms:created>
  <dc:creator>我可能会有猫吧？</dc:creator>
  <cp:lastModifiedBy>我可能会有猫吧？</cp:lastModifiedBy>
  <dcterms:modified xsi:type="dcterms:W3CDTF">2024-11-18T02:59:17Z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2052-11.1.0.15319</vt:lpwstr>
  </property>
  <property fmtid="{D5CDD505-2E9C-101B-9397-08002B2CF9AE}" pid="3" name="ICV">
    <vt:lpwstr>69BC59A900D24E9CA26C685AC2A78E34_11</vt:lpwstr>
  </property>
</Properties>
</file>